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F529" w14:textId="78D3236C" w:rsidR="0016273B" w:rsidRDefault="0016273B">
      <w:pPr>
        <w:rPr>
          <w:b/>
          <w:bCs/>
        </w:rPr>
      </w:pPr>
    </w:p>
    <w:p w14:paraId="5702ED54" w14:textId="77777777" w:rsidR="00820284" w:rsidRPr="00820284" w:rsidRDefault="00820284">
      <w:pPr>
        <w:rPr>
          <w:b/>
          <w:bCs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BE5B58" w:rsidRPr="00820284" w14:paraId="2CD78556" w14:textId="77777777" w:rsidTr="00801396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50F9F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058D" w14:textId="77777777" w:rsidR="00BE5B58" w:rsidRPr="00820284" w:rsidRDefault="009D0F38" w:rsidP="00DD1F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„Rozwój bazy kształcenia zawodowego na terenie powiatu inowrocławskiego”</w:t>
            </w:r>
          </w:p>
          <w:p w14:paraId="6642D44D" w14:textId="77777777" w:rsidR="00CE101B" w:rsidRPr="00820284" w:rsidRDefault="00CE101B" w:rsidP="009D0F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8" w:rsidRPr="00820284" w14:paraId="7C8036E4" w14:textId="77777777" w:rsidTr="00801396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2F547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Programu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981B" w14:textId="00576391" w:rsidR="00BE5B58" w:rsidRPr="00820284" w:rsidRDefault="00BE5B58" w:rsidP="00E97D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Regionalny Program Operacyjny Województwa Kujawsko- Pomorskiego na lata 2014-2020,  Oś  Priorytetowa 6. Solidarne społeczeństwo i ko</w:t>
            </w:r>
            <w:r w:rsidR="009D0F38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nkurencyjne kadry, Działanie 6.3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Inwestycje w infrastrukturę </w:t>
            </w:r>
            <w:r w:rsidR="009D0F38" w:rsidRPr="00820284">
              <w:rPr>
                <w:rFonts w:ascii="Times New Roman" w:hAnsi="Times New Roman" w:cs="Times New Roman"/>
                <w:sz w:val="24"/>
                <w:szCs w:val="24"/>
              </w:rPr>
              <w:t>edukacyj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ną, Poddziałanie 6.</w:t>
            </w:r>
            <w:r w:rsidR="009D0F38" w:rsidRPr="00820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.2 Inwestycje </w:t>
            </w:r>
            <w:r w:rsidR="001D1B24" w:rsidRPr="008202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w infrastrukturę </w:t>
            </w:r>
            <w:r w:rsidR="00CE101B" w:rsidRPr="00820284">
              <w:rPr>
                <w:rFonts w:ascii="Times New Roman" w:hAnsi="Times New Roman" w:cs="Times New Roman"/>
                <w:sz w:val="24"/>
                <w:szCs w:val="24"/>
              </w:rPr>
              <w:t>kształcenia zawodowego.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34FDF" w14:textId="77777777" w:rsidR="00A37E3F" w:rsidRPr="00820284" w:rsidRDefault="00A37E3F" w:rsidP="00E97D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0328D" w14:textId="77777777" w:rsidR="00CE101B" w:rsidRPr="00820284" w:rsidRDefault="00CE101B" w:rsidP="003D11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8" w:rsidRPr="00820284" w14:paraId="3EC5052C" w14:textId="77777777" w:rsidTr="00801396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6C9B4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E86A" w14:textId="77777777" w:rsidR="00BE5B58" w:rsidRPr="00820284" w:rsidRDefault="00BE5B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Urząd Marszałkowski  Województwa Kujawsko-Pomorskiego</w:t>
            </w:r>
          </w:p>
        </w:tc>
      </w:tr>
      <w:tr w:rsidR="00BE5B58" w:rsidRPr="00820284" w14:paraId="610E4B91" w14:textId="77777777" w:rsidTr="00801396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43A95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388D" w14:textId="77777777" w:rsidR="00BE5B58" w:rsidRPr="00820284" w:rsidRDefault="00BE5B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Powiat Inowrocławski</w:t>
            </w:r>
          </w:p>
        </w:tc>
      </w:tr>
      <w:tr w:rsidR="00BE5B58" w:rsidRPr="00820284" w14:paraId="5ED07223" w14:textId="77777777" w:rsidTr="00801396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5EB6A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375F" w14:textId="77777777" w:rsidR="00E97DB4" w:rsidRPr="00820284" w:rsidRDefault="003D1113" w:rsidP="003D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Celem projektu jest rozwój bazy edukacyjnej kształcenia zawodowego</w:t>
            </w:r>
          </w:p>
          <w:p w14:paraId="58BA06B6" w14:textId="1CF83971" w:rsidR="00BE5B58" w:rsidRPr="00820284" w:rsidRDefault="003D1113" w:rsidP="003D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i zapewnienie lepszej jakości usług edukacyjnych w zakresie zdobywania kompetencji i kwalifikacji zawodowych przez uczniów szkół ponad</w:t>
            </w:r>
            <w:r w:rsidR="00325F50" w:rsidRPr="00820284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prowadzących kształcenie zawodowe </w:t>
            </w:r>
            <w:r w:rsidR="00DD1FA3" w:rsidRPr="008202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z powiatu inowrocławskiego. </w:t>
            </w:r>
          </w:p>
          <w:p w14:paraId="73A04DBB" w14:textId="5EC48597" w:rsidR="003D1113" w:rsidRPr="00820284" w:rsidRDefault="003D1113" w:rsidP="003D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Nowoczesna infrastruktura kształcenia zawodowego umożliwi dostosowanie bazy edukacyjnej do zapotrzebowania na rynku pracy oraz</w:t>
            </w:r>
            <w:r w:rsidR="000F421F" w:rsidRPr="00820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stworzy takie warunki</w:t>
            </w:r>
            <w:r w:rsidR="00FF019B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nauki, które odzwierciedlają rzeczywiste środowisko pracy zawodowej. Dzięki temu uczniowie zyskają dostęp do</w:t>
            </w:r>
            <w:r w:rsidR="00EE074A" w:rsidRPr="00820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019B" w:rsidRPr="00820284">
              <w:rPr>
                <w:rFonts w:ascii="Times New Roman" w:hAnsi="Times New Roman" w:cs="Times New Roman"/>
                <w:sz w:val="24"/>
                <w:szCs w:val="24"/>
              </w:rPr>
              <w:t>lepszej jakości usług  edukacyjnych w zakresie szkolnictwa zawodowego i kształcenia praktycznego.</w:t>
            </w:r>
          </w:p>
          <w:p w14:paraId="67D2E210" w14:textId="77777777" w:rsidR="00FF019B" w:rsidRPr="00820284" w:rsidRDefault="00FF019B" w:rsidP="003D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765A4" w14:textId="77777777" w:rsidR="00FF019B" w:rsidRPr="00820284" w:rsidRDefault="00FF019B" w:rsidP="003D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Cele szczegółowe:</w:t>
            </w:r>
          </w:p>
          <w:p w14:paraId="084318A7" w14:textId="77777777" w:rsidR="00FF019B" w:rsidRPr="00820284" w:rsidRDefault="00FF019B" w:rsidP="0057359D">
            <w:pPr>
              <w:autoSpaceDE w:val="0"/>
              <w:autoSpaceDN w:val="0"/>
              <w:adjustRightInd w:val="0"/>
              <w:spacing w:after="0" w:line="240" w:lineRule="auto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- dostosowanie bazy kształcenia zawodowego do podstawy programowej i zapotrzebowania na rynku pracy,</w:t>
            </w:r>
          </w:p>
          <w:p w14:paraId="11156A81" w14:textId="77777777" w:rsidR="00FF019B" w:rsidRPr="00820284" w:rsidRDefault="00FF019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- dostosowanie profilu kształcenia zawodowego  do potrzeb rynku,</w:t>
            </w:r>
          </w:p>
          <w:p w14:paraId="7DA3944D" w14:textId="77777777" w:rsidR="00FF019B" w:rsidRPr="00820284" w:rsidRDefault="00FF019B" w:rsidP="0057359D">
            <w:pPr>
              <w:autoSpaceDE w:val="0"/>
              <w:autoSpaceDN w:val="0"/>
              <w:adjustRightInd w:val="0"/>
              <w:spacing w:after="0" w:line="240" w:lineRule="auto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- unowocześnienie pracowni  praktycznej nauki w zakresie zawodów deficytowych,</w:t>
            </w:r>
          </w:p>
          <w:p w14:paraId="077D4C15" w14:textId="356BFF92" w:rsidR="00FF019B" w:rsidRPr="00820284" w:rsidRDefault="00FF019B" w:rsidP="0057359D">
            <w:pPr>
              <w:autoSpaceDE w:val="0"/>
              <w:autoSpaceDN w:val="0"/>
              <w:adjustRightInd w:val="0"/>
              <w:spacing w:after="0" w:line="240" w:lineRule="auto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- stworzenie takich warunków nauki, które odzwierciedlają rzeczywiste środowisko pracy zawodowej.</w:t>
            </w:r>
          </w:p>
          <w:p w14:paraId="0B3858F0" w14:textId="77777777" w:rsidR="00A37E3F" w:rsidRPr="00820284" w:rsidRDefault="00A37E3F" w:rsidP="0057359D">
            <w:pPr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69B7" w14:textId="77777777" w:rsidR="00CE101B" w:rsidRPr="00820284" w:rsidRDefault="00CE101B" w:rsidP="003D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8" w:rsidRPr="00820284" w14:paraId="4E532568" w14:textId="77777777" w:rsidTr="00801396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78ED7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Wskaźniki projektu </w:t>
            </w:r>
          </w:p>
          <w:p w14:paraId="05EFBE0D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BA95" w14:textId="77777777" w:rsidR="00826612" w:rsidRPr="00820284" w:rsidRDefault="00826612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Wskaźniki produktu:</w:t>
            </w:r>
          </w:p>
          <w:p w14:paraId="08B4D95F" w14:textId="77777777" w:rsidR="00DD1FA3" w:rsidRPr="00820284" w:rsidRDefault="00DD1FA3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D2ED" w14:textId="77777777" w:rsidR="00BE5B58" w:rsidRPr="00820284" w:rsidRDefault="00FF019B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Liczba wspartych  obiektów infrastruktury kształcenia zawodowego (szt.) – 8.</w:t>
            </w:r>
          </w:p>
          <w:p w14:paraId="36BF9787" w14:textId="77777777" w:rsidR="00FF019B" w:rsidRPr="00820284" w:rsidRDefault="00FF019B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Liczba wspartych warsztatów/prac</w:t>
            </w:r>
            <w:r w:rsidR="00826612" w:rsidRPr="00820284">
              <w:rPr>
                <w:rFonts w:ascii="Times New Roman" w:hAnsi="Times New Roman" w:cs="Times New Roman"/>
                <w:sz w:val="24"/>
                <w:szCs w:val="24"/>
              </w:rPr>
              <w:t>owni kształcenia praktycznego (s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zt.) – 13.</w:t>
            </w:r>
          </w:p>
          <w:p w14:paraId="6F24F02E" w14:textId="77777777" w:rsidR="00826612" w:rsidRPr="00820284" w:rsidRDefault="00826612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Wskaźniki rezultatu:</w:t>
            </w:r>
          </w:p>
          <w:p w14:paraId="771F0241" w14:textId="77777777" w:rsidR="00826612" w:rsidRPr="00820284" w:rsidRDefault="00826612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Liczba uczniów korzystających ze wspartych warsztatów/pracowni kształcenia praktycznego (os.) – 753.</w:t>
            </w:r>
          </w:p>
          <w:p w14:paraId="7BA66707" w14:textId="77777777" w:rsidR="00826612" w:rsidRPr="00820284" w:rsidRDefault="00826612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Potencjał objętej wsparciem infrastruktury w zakresie opieki nad dziećmi lub infrastruktury edukacyjnej (Cl35)(os.) – 753.</w:t>
            </w:r>
          </w:p>
          <w:p w14:paraId="39CB7BA4" w14:textId="77777777" w:rsidR="00826612" w:rsidRPr="00820284" w:rsidRDefault="00826612" w:rsidP="0064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Liczba miejsc w infrastrukturze  kształcenia zawodowego (os.) 753.</w:t>
            </w:r>
          </w:p>
        </w:tc>
      </w:tr>
      <w:tr w:rsidR="00BE5B58" w:rsidRPr="00820284" w14:paraId="54D534D6" w14:textId="77777777" w:rsidTr="00801396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F706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Okres realizacji rzeczowej zgodnie</w:t>
            </w: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z wnioskiem </w:t>
            </w: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4C1" w14:textId="77777777" w:rsidR="0090088B" w:rsidRPr="00820284" w:rsidRDefault="00BE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Planowany okres realizacji projektu: </w:t>
            </w:r>
          </w:p>
          <w:p w14:paraId="2CE77EC4" w14:textId="1C01A849" w:rsidR="00BE5B58" w:rsidRPr="00820284" w:rsidRDefault="009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080" w:rsidRPr="00820284">
              <w:rPr>
                <w:rFonts w:ascii="Times New Roman" w:hAnsi="Times New Roman" w:cs="Times New Roman"/>
                <w:sz w:val="24"/>
                <w:szCs w:val="24"/>
              </w:rPr>
              <w:t>stycz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 w:rsidR="008F3080" w:rsidRPr="008202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E5B58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r. – 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0F5DA2" w:rsidRPr="00820284">
              <w:rPr>
                <w:rFonts w:ascii="Times New Roman" w:hAnsi="Times New Roman" w:cs="Times New Roman"/>
                <w:sz w:val="24"/>
                <w:szCs w:val="24"/>
              </w:rPr>
              <w:t>grud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 w:rsidR="00DD1FA3" w:rsidRPr="008202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5DA2" w:rsidRPr="0082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080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47F6FA06" w14:textId="77777777" w:rsidR="00BE5B58" w:rsidRPr="00820284" w:rsidRDefault="00BE5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28355" w14:textId="77777777" w:rsidR="00BE5B58" w:rsidRPr="00820284" w:rsidRDefault="00BE5B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8" w:rsidRPr="00820284" w14:paraId="4AA486A9" w14:textId="77777777" w:rsidTr="00801396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8D13C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95F4" w14:textId="77777777" w:rsidR="001D1B24" w:rsidRPr="00820284" w:rsidRDefault="00CE101B" w:rsidP="00DD1F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Przedmiotem projektu jest kompleksowe wsparcie dla 8 placówek oświatowych prowadzących kształcenie zawodowe,</w:t>
            </w:r>
            <w:r w:rsidR="001D1B2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których organem prowadzącym jest Powiat Inowrocławski.</w:t>
            </w:r>
          </w:p>
          <w:p w14:paraId="1208A376" w14:textId="77777777" w:rsidR="00CE101B" w:rsidRPr="00820284" w:rsidRDefault="00CE101B" w:rsidP="00DD1F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Projekt obejmuje prace adaptacyjne oraz wyposażenie</w:t>
            </w:r>
            <w:r w:rsidR="001D1B2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pracowni praktycznej nauki zawodu:</w:t>
            </w:r>
          </w:p>
          <w:p w14:paraId="7073960B" w14:textId="64C66F74" w:rsidR="00CE101B" w:rsidRPr="00820284" w:rsidRDefault="00CE101B" w:rsidP="00221338">
            <w:pPr>
              <w:numPr>
                <w:ilvl w:val="0"/>
                <w:numId w:val="4"/>
              </w:numPr>
              <w:tabs>
                <w:tab w:val="left" w:pos="406"/>
              </w:tabs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Chemiczno-Elektronicznych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im. J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ana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Pawła II w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Inowrocławiu – 2 pracownie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(dla zawodów technik 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nformatyk oraz technik teleinformatyk);</w:t>
            </w:r>
          </w:p>
          <w:p w14:paraId="1D501C55" w14:textId="14A7D73E" w:rsidR="00CE101B" w:rsidRPr="00820284" w:rsidRDefault="00CE101B" w:rsidP="0022133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 Gastronomiczno-Hotelarskich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im. G. Jaworskiej</w:t>
            </w:r>
            <w:r w:rsidR="00DD1FA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w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Inowrocławiu – 1 pracownia (planowania żywienia i usług gastronomicznych);</w:t>
            </w:r>
          </w:p>
          <w:p w14:paraId="255BB7EE" w14:textId="76B52589" w:rsidR="00CE101B" w:rsidRPr="00820284" w:rsidRDefault="00CE101B" w:rsidP="0022133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 Ekonomiczno-Logistycznych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w Inowrocławiu – 2</w:t>
            </w:r>
            <w:r w:rsidR="000F421F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pracownie (organizacji reklamy oraz prowadzenia sprzedaży);</w:t>
            </w:r>
          </w:p>
          <w:p w14:paraId="4AABF123" w14:textId="289B8305" w:rsidR="00CE101B" w:rsidRPr="00820284" w:rsidRDefault="00CE101B" w:rsidP="00221338">
            <w:pPr>
              <w:numPr>
                <w:ilvl w:val="0"/>
                <w:numId w:val="4"/>
              </w:numPr>
              <w:tabs>
                <w:tab w:val="left" w:pos="406"/>
              </w:tabs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 Budowalnych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im. Gen Wł. Sikorskiego w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Inowrocławiu – 1 pracownia (renowacji elementów 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a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rchitektury);</w:t>
            </w:r>
          </w:p>
          <w:p w14:paraId="414EB716" w14:textId="6E585EA6" w:rsidR="00CE101B" w:rsidRPr="00820284" w:rsidRDefault="00CE101B" w:rsidP="0022133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im. K. Wielkiego w Kruszwicy – 3 pracownie </w:t>
            </w:r>
            <w:r w:rsidR="00DD1FA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(2 komputerowe oraz usług gastronomicznych);</w:t>
            </w:r>
          </w:p>
          <w:p w14:paraId="03D2AC00" w14:textId="0F963FF8" w:rsidR="00CE101B" w:rsidRPr="00820284" w:rsidRDefault="00CE101B" w:rsidP="00221338">
            <w:pPr>
              <w:numPr>
                <w:ilvl w:val="0"/>
                <w:numId w:val="4"/>
              </w:numPr>
              <w:tabs>
                <w:tab w:val="left" w:pos="406"/>
              </w:tabs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im. J. Pawła II w Kościelcu – 1 pracownia (technologii gastronomicznej);</w:t>
            </w:r>
          </w:p>
          <w:p w14:paraId="441D29C8" w14:textId="7D3CEB75" w:rsidR="00CE101B" w:rsidRPr="00820284" w:rsidRDefault="00CE101B" w:rsidP="0022133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esp</w:t>
            </w:r>
            <w:r w:rsidR="00C7634B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ołu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Szkół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im. Marka Kotańskiego w Inowrocławiu – 1</w:t>
            </w:r>
            <w:r w:rsidR="000F421F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pracownia (technologiczna dla kwalifikacji TG 04 - Produkcja wyrobów cukierniczych  - zawód cukiernik:</w:t>
            </w:r>
          </w:p>
          <w:p w14:paraId="2DD8B6D3" w14:textId="092D136E" w:rsidR="00CE101B" w:rsidRPr="00820284" w:rsidRDefault="00CE101B" w:rsidP="0022133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Centrum Kształcenia 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Zawodowego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w Inowrocławiu – 2 pracownie (eksploatacji urządzeń i systemów </w:t>
            </w:r>
            <w:proofErr w:type="spellStart"/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mechatronicznych</w:t>
            </w:r>
            <w:proofErr w:type="spellEnd"/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oraz zajęć praktycznych obrabiarek CNC).</w:t>
            </w:r>
          </w:p>
          <w:p w14:paraId="6DEA75F8" w14:textId="77777777" w:rsidR="00DD1FA3" w:rsidRPr="00820284" w:rsidRDefault="00DD1FA3" w:rsidP="00221338">
            <w:pPr>
              <w:suppressAutoHyphens w:val="0"/>
              <w:spacing w:after="0" w:line="240" w:lineRule="auto"/>
              <w:ind w:left="406" w:hanging="4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6BCA992" w14:textId="77777777" w:rsidR="00CE101B" w:rsidRPr="00820284" w:rsidRDefault="00CE101B" w:rsidP="00E9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prac w poszczególnych placówkach obejmuje:</w:t>
            </w:r>
          </w:p>
          <w:p w14:paraId="1EC23742" w14:textId="77777777" w:rsidR="001D1B24" w:rsidRPr="00820284" w:rsidRDefault="001D1B24" w:rsidP="00E9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CEA410" w14:textId="0B25A484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espole Szkół Chemiczno-Elekt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onicznych im. Jana Pawła II w Inowrocławiu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wyposażenie szkolnych pracowni komputerowych </w:t>
            </w:r>
            <w:r w:rsidR="00DD1FA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zawodów technik informatyk i teleinformatyk, prace adaptacyjne (montaż okablowania strukturalnego w dwóch pracowniach).</w:t>
            </w:r>
          </w:p>
          <w:p w14:paraId="6178BF6B" w14:textId="16CF247A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507B64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espole Szkół Gastronomiczno-Hotelarskich</w:t>
            </w:r>
            <w:r w:rsidR="004832D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im. G. Jaworskiej w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832D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Inowrocław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832D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wyposażenie pracowni planowania żywienia i usług gastronomicznych.</w:t>
            </w:r>
          </w:p>
          <w:p w14:paraId="70546241" w14:textId="60EE88B6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4832D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espole Szkół Ekonomiczno-Logistycznych w Inowrocławiu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wyposażenie pracowni prowadzenia sprzedaży </w:t>
            </w:r>
            <w:r w:rsidR="00DD1FA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oraz pracowni organizacji reklamy.</w:t>
            </w:r>
          </w:p>
          <w:p w14:paraId="704A5783" w14:textId="77C35759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4832D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espole Szkół 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Budowlanych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im. gen. Wł. Sikorskiego w Inowrocławiu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wyposażenie pracowni renowacji elementów architektury i prace adaptacyjne - roboty budowlane zgodne z adaptacją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pomieszczeń dla pracowni renowacji architektury wraz z zapleczem sanitarnym i magazynem na narzędzia i materiały.</w:t>
            </w:r>
          </w:p>
          <w:p w14:paraId="6F0C3F30" w14:textId="033B083B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espole Szkół im. K. Wielkiego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Kruszwicy - wyposażenie pracowni komputerowych oraz gastronomicznej, prace adaptacyjne w pracowni gastronomicznej.</w:t>
            </w:r>
          </w:p>
          <w:p w14:paraId="43E1055B" w14:textId="175EC41F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espole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zkół im. Jana Pawła II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Kościelcu - wyposażenie pracowni technologii gastronomicznej, zakup materiałów budowlanych (materiały wykończeniowe dla pracowni t. gastronomicznej).</w:t>
            </w:r>
          </w:p>
          <w:p w14:paraId="2A9743B6" w14:textId="41CF3DEA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espole Szkół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im. M. Kotańskiego - wyposażenie oraz prace adaptacyjne w pracowni technologicznej dla kwalifikacji TG 04 - Produkcja wyrobów cukierniczych - zawód cukiernik.</w:t>
            </w:r>
          </w:p>
          <w:p w14:paraId="080D53D2" w14:textId="52B7BC39" w:rsidR="00CE101B" w:rsidRPr="00820284" w:rsidRDefault="00CE101B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C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entrum Kształcenia</w:t>
            </w:r>
            <w:r w:rsidR="004C6F29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Zawodowe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 w Inowrocławiu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wyposażenie pracowni eksploatacji urządzeń i systemów </w:t>
            </w:r>
            <w:proofErr w:type="spellStart"/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mechatronicznych</w:t>
            </w:r>
            <w:proofErr w:type="spellEnd"/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</w:t>
            </w:r>
            <w:r w:rsidR="00EE074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 zajęć praktycznych obrabiarek CNC.</w:t>
            </w:r>
          </w:p>
          <w:p w14:paraId="1C04D585" w14:textId="354589E7" w:rsidR="00CE101B" w:rsidRPr="00820284" w:rsidRDefault="00CE101B" w:rsidP="00CE370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jest zgodny z celami Regionalnego Programu Operacyjnego Województwa Kujawsko-Pomorskiego na lata 2014-2020, Osi Priorytetowej 6. Solidarne społeczeństwo</w:t>
            </w:r>
            <w:r w:rsidR="00DD1FA3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konkurencyjne kadry, Działania 6.3 Inwestycje w infrastrukturę edukacyjną, Poddziałania 6.3.2 Inwestycje w infrastrukturę kształcenia zawodowego, Schemat: Poprawa jakości usług edukacyjnych szkół prowadzących kształcenie zawodowe poprzez inwestycje w infrastrukturę i wyposażenie w</w:t>
            </w:r>
            <w:r w:rsidR="00D4026A"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ramach polityki terytorialnej. Celem poddziałania 6.3.2 jest lepsza jakość usług edukacyjnych w zakresie szkolnictwa zawodowego.</w:t>
            </w:r>
          </w:p>
          <w:p w14:paraId="441D12C0" w14:textId="77777777" w:rsidR="00A37E3F" w:rsidRPr="00820284" w:rsidRDefault="00A37E3F" w:rsidP="0082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080074B" w14:textId="77777777" w:rsidR="00BE5B58" w:rsidRPr="00820284" w:rsidRDefault="00BE5B58" w:rsidP="00E9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58" w:rsidRPr="00820284" w14:paraId="66536C85" w14:textId="77777777" w:rsidTr="00801396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EE700" w14:textId="77777777" w:rsidR="00BE5B58" w:rsidRPr="00820284" w:rsidRDefault="00BE5B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Budżet projektu</w:t>
            </w: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wg wniosku </w:t>
            </w: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B5A1" w14:textId="77777777" w:rsidR="00BE5B58" w:rsidRPr="00820284" w:rsidRDefault="00BE5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Całkowita wartość projektu zgodnie ze złożonym wnioskiem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br/>
              <w:t>o dofinansowanie projektu wynosi: 1</w:t>
            </w:r>
            <w:r w:rsidR="006B7027" w:rsidRPr="00820284">
              <w:rPr>
                <w:rFonts w:ascii="Times New Roman" w:hAnsi="Times New Roman" w:cs="Times New Roman"/>
                <w:sz w:val="24"/>
                <w:szCs w:val="24"/>
              </w:rPr>
              <w:t> 469 114,72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  <w:p w14:paraId="54C4B808" w14:textId="77777777" w:rsidR="00BE5B58" w:rsidRPr="00820284" w:rsidRDefault="00BE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Wydatki kwalifikowane: 1</w:t>
            </w:r>
            <w:r w:rsidR="006B7027" w:rsidRPr="00820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027" w:rsidRPr="00820284">
              <w:rPr>
                <w:rFonts w:ascii="Times New Roman" w:hAnsi="Times New Roman" w:cs="Times New Roman"/>
                <w:sz w:val="24"/>
                <w:szCs w:val="24"/>
              </w:rPr>
              <w:t>90 177,72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14:paraId="19D4DCE1" w14:textId="77777777" w:rsidR="006B7027" w:rsidRPr="00820284" w:rsidRDefault="006B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niekwalifikowane -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78 937,00 zł.</w:t>
            </w:r>
          </w:p>
          <w:p w14:paraId="162A72A4" w14:textId="77777777" w:rsidR="006B7027" w:rsidRPr="00820284" w:rsidRDefault="006B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BB51" w14:textId="77777777" w:rsidR="00BE5B58" w:rsidRPr="00820284" w:rsidRDefault="00BE5B58" w:rsidP="00DD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Dofinansowanie UE - Europejski Fundusz Rozwoju Regionalnego </w:t>
            </w:r>
            <w:r w:rsidR="009B5B17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(EFRR):</w:t>
            </w:r>
            <w:r w:rsidR="009B5B17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85%</w:t>
            </w:r>
            <w:r w:rsidR="006B7027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1 181 651,06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  <w:p w14:paraId="069391F7" w14:textId="0A2160EF" w:rsidR="00AE24F9" w:rsidRPr="00820284" w:rsidRDefault="00BE5B58" w:rsidP="008208C8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Wkład Beneficjenta - Powiatu Inowrocławskiego</w:t>
            </w:r>
            <w:r w:rsidR="00CE3703" w:rsidRPr="00820284">
              <w:rPr>
                <w:rFonts w:ascii="Times New Roman" w:hAnsi="Times New Roman" w:cs="Times New Roman"/>
                <w:sz w:val="24"/>
                <w:szCs w:val="24"/>
              </w:rPr>
              <w:t>: 15%</w:t>
            </w:r>
            <w:r w:rsidR="009B5B17" w:rsidRPr="008202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- </w:t>
            </w:r>
            <w:r w:rsidR="009B5B17" w:rsidRPr="00820284">
              <w:rPr>
                <w:rFonts w:ascii="Times New Roman" w:hAnsi="Times New Roman" w:cs="Times New Roman"/>
                <w:sz w:val="24"/>
                <w:szCs w:val="24"/>
              </w:rPr>
              <w:t>287 463,66 zł.</w:t>
            </w:r>
            <w:r w:rsidR="00E97DB4" w:rsidRPr="00820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E5B58" w:rsidRPr="00820284" w14:paraId="1BA6B7E2" w14:textId="77777777" w:rsidTr="00801396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C1211" w14:textId="3A9B7101" w:rsidR="00BE5B58" w:rsidRPr="00820284" w:rsidRDefault="003B7E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D124" w14:textId="34D7A36D" w:rsidR="00BE5B58" w:rsidRPr="00820284" w:rsidRDefault="007F5A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F07AF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a mocy Uchwały Nr 1/14/18 Zarządu Województwa Kujawsko-Pomorskiego 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z dnia 21 listopada 2018 r. w sprawie zatwierdzenia listy ocenionych projektów w ramach Regionalnego Programu Operacyjnego Województwa Kujawsko-Pomorskiego na lata 2014- 2020, dla konkursu Nr RPKP.06.03.02-IZ.00-04-164/18</w:t>
            </w:r>
            <w:r w:rsidR="00E6344B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został wybrany do</w:t>
            </w:r>
            <w:r w:rsidR="00E6344B" w:rsidRPr="00820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dofinansowania.</w:t>
            </w:r>
          </w:p>
          <w:p w14:paraId="74CD7482" w14:textId="51078C4B" w:rsidR="004B36A9" w:rsidRPr="00820284" w:rsidRDefault="006F5776" w:rsidP="00DD1F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21 lutego 2019 r. </w:t>
            </w:r>
            <w:r w:rsidR="00BE5B58" w:rsidRPr="00820284">
              <w:rPr>
                <w:rFonts w:ascii="Times New Roman" w:hAnsi="Times New Roman" w:cs="Times New Roman"/>
                <w:sz w:val="24"/>
                <w:szCs w:val="24"/>
              </w:rPr>
              <w:t>nastąpiło podpisanie umowy nr WP-II-C.433.6.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E5B58" w:rsidRPr="00820284">
              <w:rPr>
                <w:rFonts w:ascii="Times New Roman" w:hAnsi="Times New Roman" w:cs="Times New Roman"/>
                <w:sz w:val="24"/>
                <w:szCs w:val="24"/>
              </w:rPr>
              <w:t>.2018 o dofinansowanie projektu nr RPKP.06.0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B58" w:rsidRPr="00820284">
              <w:rPr>
                <w:rFonts w:ascii="Times New Roman" w:hAnsi="Times New Roman" w:cs="Times New Roman"/>
                <w:sz w:val="24"/>
                <w:szCs w:val="24"/>
              </w:rPr>
              <w:t>.02-04-00</w:t>
            </w: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06/18</w:t>
            </w:r>
            <w:r w:rsidR="00BE5B58" w:rsidRPr="00820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014CF4" w14:textId="77777777" w:rsidR="00820284" w:rsidRPr="00820284" w:rsidRDefault="00820284" w:rsidP="008202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14F" w14:textId="54E49809" w:rsidR="008208C8" w:rsidRPr="00820284" w:rsidRDefault="004B36A9" w:rsidP="008202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2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20284" w:rsidRPr="00820284">
              <w:rPr>
                <w:rFonts w:ascii="Times New Roman" w:hAnsi="Times New Roman" w:cs="Times New Roman"/>
                <w:sz w:val="24"/>
                <w:szCs w:val="24"/>
              </w:rPr>
              <w:t xml:space="preserve"> r. – 2021 r. realizacja zakresu rzeczowego  projektu.</w:t>
            </w:r>
          </w:p>
          <w:p w14:paraId="07928937" w14:textId="0F4722F1" w:rsidR="00BE5B58" w:rsidRPr="00820284" w:rsidRDefault="00BE5B58" w:rsidP="007B14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915B7" w14:textId="77777777" w:rsidR="00BE5B58" w:rsidRPr="00820284" w:rsidRDefault="00BE5B58" w:rsidP="00BE5B58">
      <w:pPr>
        <w:spacing w:after="0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39F30BA9" w14:textId="77777777" w:rsidR="00BE5B58" w:rsidRPr="00820284" w:rsidRDefault="00BE5B58" w:rsidP="00BE5B58">
      <w:pPr>
        <w:spacing w:after="0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3C1327BD" w14:textId="77777777" w:rsidR="00BE5B58" w:rsidRPr="00820284" w:rsidRDefault="001D1B24" w:rsidP="001D1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284">
        <w:rPr>
          <w:rFonts w:ascii="Times New Roman" w:hAnsi="Times New Roman" w:cs="Times New Roman"/>
          <w:b/>
          <w:bCs/>
          <w:sz w:val="24"/>
          <w:szCs w:val="24"/>
        </w:rPr>
        <w:t>Opracowanie: Wydział Rozwoju, Planowania Inwestycji i Inicjatyw Europejskich Starostwa Powiatowego w Inowrocławiu.</w:t>
      </w:r>
    </w:p>
    <w:sectPr w:rsidR="00BE5B58" w:rsidRPr="00820284" w:rsidSect="00E771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E52A" w14:textId="77777777" w:rsidR="00820284" w:rsidRDefault="00820284" w:rsidP="00820284">
      <w:pPr>
        <w:spacing w:after="0" w:line="240" w:lineRule="auto"/>
      </w:pPr>
      <w:r>
        <w:separator/>
      </w:r>
    </w:p>
  </w:endnote>
  <w:endnote w:type="continuationSeparator" w:id="0">
    <w:p w14:paraId="6A377E1E" w14:textId="77777777" w:rsidR="00820284" w:rsidRDefault="00820284" w:rsidP="0082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F349" w14:textId="77777777" w:rsidR="00820284" w:rsidRDefault="00820284" w:rsidP="00820284">
      <w:pPr>
        <w:spacing w:after="0" w:line="240" w:lineRule="auto"/>
      </w:pPr>
      <w:r>
        <w:separator/>
      </w:r>
    </w:p>
  </w:footnote>
  <w:footnote w:type="continuationSeparator" w:id="0">
    <w:p w14:paraId="5984495D" w14:textId="77777777" w:rsidR="00820284" w:rsidRDefault="00820284" w:rsidP="0082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18F" w14:textId="150300ED" w:rsidR="00820284" w:rsidRDefault="00820284">
    <w:pPr>
      <w:pStyle w:val="Nagwek"/>
    </w:pPr>
    <w:r w:rsidRPr="00820284">
      <w:rPr>
        <w:rFonts w:eastAsia="Times New Roman" w:cs="Times New Roman"/>
        <w:noProof/>
        <w:lang w:eastAsia="pl-PL"/>
      </w:rPr>
      <w:drawing>
        <wp:inline distT="0" distB="0" distL="0" distR="0" wp14:anchorId="217DA7BF" wp14:editId="4551DE7A">
          <wp:extent cx="5760720" cy="608330"/>
          <wp:effectExtent l="0" t="0" r="0" b="1270"/>
          <wp:docPr id="1" name="Obraz 1" descr="C:\Users\danutaj\Desktop\poziom_kolor do expre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utaj\Desktop\poziom_kolor do expres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880"/>
    <w:multiLevelType w:val="hybridMultilevel"/>
    <w:tmpl w:val="0740A62C"/>
    <w:lvl w:ilvl="0" w:tplc="53485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1578"/>
    <w:multiLevelType w:val="hybridMultilevel"/>
    <w:tmpl w:val="8B7C8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3E63"/>
    <w:multiLevelType w:val="hybridMultilevel"/>
    <w:tmpl w:val="4FB2B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E19F6"/>
    <w:multiLevelType w:val="hybridMultilevel"/>
    <w:tmpl w:val="636CB0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B464E"/>
    <w:multiLevelType w:val="hybridMultilevel"/>
    <w:tmpl w:val="9F24BDBC"/>
    <w:lvl w:ilvl="0" w:tplc="53485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58"/>
    <w:rsid w:val="000323D2"/>
    <w:rsid w:val="000948AF"/>
    <w:rsid w:val="000F421F"/>
    <w:rsid w:val="000F5DA2"/>
    <w:rsid w:val="00160448"/>
    <w:rsid w:val="0016273B"/>
    <w:rsid w:val="001A484C"/>
    <w:rsid w:val="001B790B"/>
    <w:rsid w:val="001D1B24"/>
    <w:rsid w:val="00221338"/>
    <w:rsid w:val="0028736D"/>
    <w:rsid w:val="002B74A8"/>
    <w:rsid w:val="002E4C6A"/>
    <w:rsid w:val="00303FF8"/>
    <w:rsid w:val="00325F50"/>
    <w:rsid w:val="0038246B"/>
    <w:rsid w:val="003A55D3"/>
    <w:rsid w:val="003B7E7D"/>
    <w:rsid w:val="003C4E2B"/>
    <w:rsid w:val="003D1113"/>
    <w:rsid w:val="003D6624"/>
    <w:rsid w:val="003E50CB"/>
    <w:rsid w:val="004257BD"/>
    <w:rsid w:val="00444290"/>
    <w:rsid w:val="00466B04"/>
    <w:rsid w:val="004832D3"/>
    <w:rsid w:val="00491482"/>
    <w:rsid w:val="004B0D60"/>
    <w:rsid w:val="004B36A9"/>
    <w:rsid w:val="004C4BD3"/>
    <w:rsid w:val="004C6F29"/>
    <w:rsid w:val="00507B64"/>
    <w:rsid w:val="005334CA"/>
    <w:rsid w:val="00571F2A"/>
    <w:rsid w:val="0057359D"/>
    <w:rsid w:val="005B7E74"/>
    <w:rsid w:val="005C0152"/>
    <w:rsid w:val="005E5698"/>
    <w:rsid w:val="00645202"/>
    <w:rsid w:val="006A75E9"/>
    <w:rsid w:val="006A7E9D"/>
    <w:rsid w:val="006B7027"/>
    <w:rsid w:val="006F5776"/>
    <w:rsid w:val="00712208"/>
    <w:rsid w:val="00741023"/>
    <w:rsid w:val="00745C05"/>
    <w:rsid w:val="007B1473"/>
    <w:rsid w:val="007F5A4F"/>
    <w:rsid w:val="00801396"/>
    <w:rsid w:val="00820284"/>
    <w:rsid w:val="008208C8"/>
    <w:rsid w:val="00824D62"/>
    <w:rsid w:val="00826612"/>
    <w:rsid w:val="008D20BA"/>
    <w:rsid w:val="008E6D94"/>
    <w:rsid w:val="008F3080"/>
    <w:rsid w:val="0090088B"/>
    <w:rsid w:val="00961908"/>
    <w:rsid w:val="00983294"/>
    <w:rsid w:val="009B5B17"/>
    <w:rsid w:val="009B76D7"/>
    <w:rsid w:val="009D0F38"/>
    <w:rsid w:val="009D61F8"/>
    <w:rsid w:val="00A37C4C"/>
    <w:rsid w:val="00A37E3F"/>
    <w:rsid w:val="00A725CD"/>
    <w:rsid w:val="00AE24F9"/>
    <w:rsid w:val="00B239E4"/>
    <w:rsid w:val="00B55BCC"/>
    <w:rsid w:val="00BE5B58"/>
    <w:rsid w:val="00C002A1"/>
    <w:rsid w:val="00C07605"/>
    <w:rsid w:val="00C7634B"/>
    <w:rsid w:val="00CE101B"/>
    <w:rsid w:val="00CE27DF"/>
    <w:rsid w:val="00CE3703"/>
    <w:rsid w:val="00D400D9"/>
    <w:rsid w:val="00D4026A"/>
    <w:rsid w:val="00D44DE3"/>
    <w:rsid w:val="00D662E7"/>
    <w:rsid w:val="00DC332E"/>
    <w:rsid w:val="00DD1FA3"/>
    <w:rsid w:val="00E12D84"/>
    <w:rsid w:val="00E17F2F"/>
    <w:rsid w:val="00E459F8"/>
    <w:rsid w:val="00E6344B"/>
    <w:rsid w:val="00E7718A"/>
    <w:rsid w:val="00E97DB4"/>
    <w:rsid w:val="00EA5FC6"/>
    <w:rsid w:val="00EB0F18"/>
    <w:rsid w:val="00EC0F69"/>
    <w:rsid w:val="00EE074A"/>
    <w:rsid w:val="00F02DA6"/>
    <w:rsid w:val="00F1307F"/>
    <w:rsid w:val="00F91C11"/>
    <w:rsid w:val="00F921A8"/>
    <w:rsid w:val="00FB1C97"/>
    <w:rsid w:val="00FD6AC3"/>
    <w:rsid w:val="00FF019B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58C"/>
  <w15:docId w15:val="{EE8E575C-4D04-493B-89AB-6468B4DC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B58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73B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208C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325F50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2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284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2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28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D3EC-BF79-49B4-AAF1-A43AC1FD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</dc:creator>
  <cp:lastModifiedBy>DanutaJ</cp:lastModifiedBy>
  <cp:revision>22</cp:revision>
  <cp:lastPrinted>2020-06-19T08:26:00Z</cp:lastPrinted>
  <dcterms:created xsi:type="dcterms:W3CDTF">2020-06-19T07:00:00Z</dcterms:created>
  <dcterms:modified xsi:type="dcterms:W3CDTF">2022-01-24T11:46:00Z</dcterms:modified>
</cp:coreProperties>
</file>